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6131A" w14:textId="359318F0" w:rsidR="009051FE" w:rsidRPr="00D702AA" w:rsidRDefault="009051FE" w:rsidP="009051FE">
      <w:pPr>
        <w:ind w:left="-284" w:right="50"/>
        <w:jc w:val="both"/>
        <w:rPr>
          <w:rFonts w:ascii="Verdana" w:hAnsi="Verdana" w:cs="Arial"/>
          <w:sz w:val="22"/>
          <w:szCs w:val="22"/>
          <w:lang w:val="es-CO"/>
        </w:rPr>
      </w:pPr>
      <w:r w:rsidRPr="00D702AA">
        <w:rPr>
          <w:rFonts w:ascii="Verdana" w:hAnsi="Verdana" w:cs="Arial"/>
          <w:sz w:val="22"/>
          <w:szCs w:val="22"/>
          <w:lang w:val="es-CO"/>
        </w:rPr>
        <w:t xml:space="preserve">En cumplimiento de los principios de transparencia, publicidad y acceso a la información y en concordancia con lo dispuesto por el artículo 209 de la Constitución Política de Colombia, se informa que, conforme a la </w:t>
      </w:r>
      <w:r w:rsidRPr="00D702AA">
        <w:rPr>
          <w:rFonts w:ascii="Verdana" w:hAnsi="Verdana" w:cs="Arial"/>
          <w:b/>
          <w:bCs/>
          <w:sz w:val="22"/>
          <w:szCs w:val="22"/>
          <w:lang w:val="es-CO"/>
        </w:rPr>
        <w:t xml:space="preserve">Resolución No. </w:t>
      </w:r>
      <w:r w:rsidR="00D80998">
        <w:rPr>
          <w:rFonts w:ascii="Verdana" w:hAnsi="Verdana" w:cs="Arial"/>
          <w:b/>
          <w:bCs/>
          <w:sz w:val="22"/>
          <w:szCs w:val="22"/>
          <w:lang w:val="es-CO"/>
        </w:rPr>
        <w:t xml:space="preserve">1499 </w:t>
      </w:r>
      <w:r w:rsidRPr="00D702AA">
        <w:rPr>
          <w:rFonts w:ascii="Verdana" w:hAnsi="Verdana" w:cs="Arial"/>
          <w:b/>
          <w:bCs/>
          <w:sz w:val="22"/>
          <w:szCs w:val="22"/>
          <w:lang w:val="es-CO"/>
        </w:rPr>
        <w:t xml:space="preserve">del </w:t>
      </w:r>
      <w:r w:rsidR="00D702AA" w:rsidRPr="00D702AA">
        <w:rPr>
          <w:rFonts w:ascii="Verdana" w:hAnsi="Verdana" w:cs="Arial"/>
          <w:b/>
          <w:bCs/>
          <w:sz w:val="22"/>
          <w:szCs w:val="22"/>
          <w:lang w:val="es-CO"/>
        </w:rPr>
        <w:t>20</w:t>
      </w:r>
      <w:r w:rsidRPr="00D702AA">
        <w:rPr>
          <w:rFonts w:ascii="Verdana" w:hAnsi="Verdana" w:cs="Arial"/>
          <w:b/>
          <w:bCs/>
          <w:sz w:val="22"/>
          <w:szCs w:val="22"/>
          <w:lang w:val="es-CO"/>
        </w:rPr>
        <w:t xml:space="preserve"> de </w:t>
      </w:r>
      <w:r w:rsidR="00D702AA" w:rsidRPr="00D702AA">
        <w:rPr>
          <w:rFonts w:ascii="Verdana" w:hAnsi="Verdana" w:cs="Arial"/>
          <w:b/>
          <w:bCs/>
          <w:sz w:val="22"/>
          <w:szCs w:val="22"/>
          <w:lang w:val="es-CO"/>
        </w:rPr>
        <w:t xml:space="preserve">octubre </w:t>
      </w:r>
      <w:r w:rsidRPr="00D702AA">
        <w:rPr>
          <w:rFonts w:ascii="Verdana" w:hAnsi="Verdana" w:cs="Arial"/>
          <w:b/>
          <w:bCs/>
          <w:sz w:val="22"/>
          <w:szCs w:val="22"/>
          <w:lang w:val="es-CO"/>
        </w:rPr>
        <w:t>de 2025</w:t>
      </w:r>
      <w:r w:rsidRPr="00D702AA">
        <w:rPr>
          <w:rFonts w:ascii="Verdana" w:hAnsi="Verdana" w:cs="Arial"/>
          <w:i/>
          <w:iCs/>
          <w:sz w:val="22"/>
          <w:szCs w:val="22"/>
          <w:lang w:val="es-CO"/>
        </w:rPr>
        <w:t>, “</w:t>
      </w:r>
      <w:r w:rsidR="00D702AA" w:rsidRPr="00D702AA">
        <w:rPr>
          <w:rFonts w:ascii="Verdana" w:hAnsi="Verdana" w:cs="Arial"/>
          <w:i/>
          <w:iCs/>
          <w:sz w:val="22"/>
          <w:szCs w:val="22"/>
          <w:lang w:val="es-CO"/>
        </w:rPr>
        <w:t>Por medio de la cual se prorroga el término de duración de las zonas de protección y desarrollo de los recursos naturales renovables y del medio ambiente, declaradas mediante la Resolución No. 1814 de 2015 y prorrogadas mediante las Resoluciones No. 2157 de 2017, 1987 de 2018, 1675 de 2019, 1125 de 2021 y 1109 de 2023 y se adoptan otras determinaciones</w:t>
      </w:r>
      <w:r w:rsidRPr="00D702AA">
        <w:rPr>
          <w:rFonts w:ascii="Verdana" w:hAnsi="Verdana" w:cs="Arial"/>
          <w:i/>
          <w:iCs/>
          <w:sz w:val="22"/>
          <w:szCs w:val="22"/>
          <w:lang w:val="es-CO"/>
        </w:rPr>
        <w:t>”</w:t>
      </w:r>
      <w:r w:rsidRPr="00D702AA">
        <w:rPr>
          <w:rFonts w:ascii="Verdana" w:hAnsi="Verdana" w:cs="Arial"/>
          <w:sz w:val="22"/>
          <w:szCs w:val="22"/>
          <w:lang w:val="es-CO"/>
        </w:rPr>
        <w:t>, el contenido del acto administrativo será publicado para consulta nacional a través del siguiente enlace en la página web del Ministerio de Ambiente y Desarrollo Sostenible</w:t>
      </w:r>
      <w:r w:rsidR="0080156B" w:rsidRPr="00D702AA">
        <w:rPr>
          <w:rFonts w:ascii="Verdana" w:hAnsi="Verdana" w:cs="Arial"/>
          <w:sz w:val="22"/>
          <w:szCs w:val="22"/>
          <w:lang w:val="es-CO"/>
        </w:rPr>
        <w:t xml:space="preserve">: </w:t>
      </w:r>
      <w:hyperlink r:id="rId5" w:tgtFrame="_blank" w:tooltip="https://www.minambiente.gov.co/normativa/resoluciones/" w:history="1">
        <w:r w:rsidR="00A45CF6" w:rsidRPr="00D702AA">
          <w:rPr>
            <w:rStyle w:val="Hipervnculo"/>
            <w:rFonts w:ascii="Verdana" w:hAnsi="Verdana" w:cs="Arial"/>
            <w:sz w:val="22"/>
            <w:szCs w:val="22"/>
          </w:rPr>
          <w:t>https://www.minambiente.gov.co/normativa/resoluciones/</w:t>
        </w:r>
      </w:hyperlink>
      <w:r w:rsidR="00D80998">
        <w:t xml:space="preserve">, </w:t>
      </w:r>
      <w:r w:rsidR="00D80998" w:rsidRPr="00D80998">
        <w:rPr>
          <w:rFonts w:ascii="Verdana" w:hAnsi="Verdana" w:cs="Arial"/>
          <w:sz w:val="22"/>
          <w:szCs w:val="22"/>
          <w:lang w:val="es-CO"/>
        </w:rPr>
        <w:t>o el que haga de sus veces</w:t>
      </w:r>
      <w:r w:rsidR="00D80998">
        <w:rPr>
          <w:rFonts w:ascii="Verdana" w:hAnsi="Verdana" w:cs="Arial"/>
          <w:sz w:val="22"/>
          <w:szCs w:val="22"/>
          <w:lang w:val="es-CO"/>
        </w:rPr>
        <w:t>.</w:t>
      </w:r>
    </w:p>
    <w:p w14:paraId="5C7D6830" w14:textId="44C3ACA4" w:rsidR="009051FE" w:rsidRPr="00D702AA" w:rsidRDefault="009051FE" w:rsidP="0080156B">
      <w:pPr>
        <w:ind w:left="-284" w:right="50"/>
        <w:jc w:val="both"/>
        <w:rPr>
          <w:rFonts w:ascii="Verdana" w:hAnsi="Verdana" w:cs="Arial"/>
          <w:sz w:val="22"/>
          <w:szCs w:val="22"/>
          <w:lang w:val="es-CO"/>
        </w:rPr>
      </w:pPr>
      <w:r w:rsidRPr="00D702AA">
        <w:rPr>
          <w:rFonts w:ascii="Verdana" w:hAnsi="Verdana" w:cs="Arial"/>
          <w:sz w:val="22"/>
          <w:szCs w:val="22"/>
          <w:lang w:val="es-CO"/>
        </w:rPr>
        <w:t>Según lo establecido en el Artículo 2</w:t>
      </w:r>
      <w:r w:rsidR="00D702AA">
        <w:rPr>
          <w:rFonts w:ascii="Verdana" w:hAnsi="Verdana" w:cs="Arial"/>
          <w:sz w:val="22"/>
          <w:szCs w:val="22"/>
          <w:lang w:val="es-CO"/>
        </w:rPr>
        <w:t xml:space="preserve"> y 3</w:t>
      </w:r>
      <w:r w:rsidRPr="00D702AA">
        <w:rPr>
          <w:rFonts w:ascii="Verdana" w:hAnsi="Verdana" w:cs="Arial"/>
          <w:sz w:val="22"/>
          <w:szCs w:val="22"/>
          <w:lang w:val="es-CO"/>
        </w:rPr>
        <w:t xml:space="preserve">, </w:t>
      </w:r>
      <w:r w:rsidR="00A45CF6" w:rsidRPr="00D702AA">
        <w:rPr>
          <w:rFonts w:ascii="Verdana" w:hAnsi="Verdana" w:cs="Arial"/>
          <w:sz w:val="22"/>
          <w:szCs w:val="22"/>
          <w:lang w:val="es-CO"/>
        </w:rPr>
        <w:t>de la resolución en mención, la cual</w:t>
      </w:r>
      <w:r w:rsidRPr="00D702AA">
        <w:rPr>
          <w:rFonts w:ascii="Verdana" w:hAnsi="Verdana" w:cs="Arial"/>
          <w:sz w:val="22"/>
          <w:szCs w:val="22"/>
          <w:lang w:val="es-CO"/>
        </w:rPr>
        <w:t xml:space="preserve"> dispone lo siguiente:</w:t>
      </w:r>
    </w:p>
    <w:p w14:paraId="35E55D70" w14:textId="77777777" w:rsidR="00D702AA" w:rsidRPr="00D702AA" w:rsidRDefault="00D702AA" w:rsidP="00D702AA">
      <w:pPr>
        <w:spacing w:before="240" w:after="240"/>
        <w:jc w:val="both"/>
        <w:rPr>
          <w:rFonts w:ascii="Verdana" w:hAnsi="Verdana"/>
          <w:sz w:val="22"/>
          <w:szCs w:val="22"/>
        </w:rPr>
      </w:pPr>
      <w:r w:rsidRPr="00D702AA">
        <w:rPr>
          <w:rFonts w:ascii="Verdana" w:hAnsi="Verdana"/>
          <w:b/>
          <w:sz w:val="22"/>
          <w:szCs w:val="22"/>
        </w:rPr>
        <w:t>Artículo</w:t>
      </w:r>
      <w:r w:rsidRPr="00D702AA">
        <w:rPr>
          <w:rFonts w:ascii="Verdana" w:hAnsi="Verdana"/>
          <w:b/>
          <w:bCs/>
          <w:sz w:val="22"/>
          <w:szCs w:val="22"/>
        </w:rPr>
        <w:t xml:space="preserve"> 2. REDUCCIÓN DE ÁREA. </w:t>
      </w:r>
      <w:r w:rsidRPr="00D702AA">
        <w:rPr>
          <w:rFonts w:ascii="Verdana" w:hAnsi="Verdana"/>
          <w:sz w:val="22"/>
          <w:szCs w:val="22"/>
        </w:rPr>
        <w:t>Modificar en el sentido de reducir el área de cinco (5) polígonos, que en conjunto suman 95.021,63 hectáreas. En consecuencia, se prorrogan por el término de dos (2) años, contados a partir de la expedición del presente acto administrativo, los efectos jurídicos de las siguientes zonas de protección y desarrollo de los recursos naturales renovables y del medio ambiente, establecidas mediante la Resolución 1814 de 2015 del Ministerio de Ambiente y Desarrollo Sostenible y prorrogadas por las Resoluciones 2157 de 2017, 1987 de 2018, 1675 de 2019, 1125 de 2021 y 1109 de 2023, para los polígonos identificados así:</w:t>
      </w:r>
    </w:p>
    <w:p w14:paraId="3B3E690E" w14:textId="77777777" w:rsidR="00D702AA" w:rsidRDefault="00D702AA" w:rsidP="00D702AA">
      <w:pPr>
        <w:pStyle w:val="Descripcin"/>
        <w:keepNext/>
        <w:spacing w:before="240" w:after="240"/>
        <w:jc w:val="center"/>
        <w:rPr>
          <w:rFonts w:ascii="Verdana" w:hAnsi="Verdana"/>
          <w:color w:val="auto"/>
          <w:sz w:val="22"/>
          <w:szCs w:val="22"/>
        </w:rPr>
      </w:pPr>
      <w:r w:rsidRPr="00D702AA">
        <w:rPr>
          <w:rFonts w:ascii="Verdana" w:hAnsi="Verdana"/>
          <w:color w:val="auto"/>
          <w:sz w:val="22"/>
          <w:szCs w:val="22"/>
        </w:rPr>
        <w:t xml:space="preserve">Tabla </w:t>
      </w:r>
      <w:r w:rsidRPr="00D702AA">
        <w:rPr>
          <w:rFonts w:ascii="Verdana" w:hAnsi="Verdana"/>
          <w:color w:val="auto"/>
          <w:sz w:val="22"/>
          <w:szCs w:val="22"/>
        </w:rPr>
        <w:fldChar w:fldCharType="begin"/>
      </w:r>
      <w:r w:rsidRPr="00D702AA">
        <w:rPr>
          <w:rFonts w:ascii="Verdana" w:hAnsi="Verdana"/>
          <w:color w:val="auto"/>
          <w:sz w:val="22"/>
          <w:szCs w:val="22"/>
        </w:rPr>
        <w:instrText xml:space="preserve"> SEQ Tabla \* ARABIC </w:instrText>
      </w:r>
      <w:r w:rsidRPr="00D702AA">
        <w:rPr>
          <w:rFonts w:ascii="Verdana" w:hAnsi="Verdana"/>
          <w:color w:val="auto"/>
          <w:sz w:val="22"/>
          <w:szCs w:val="22"/>
        </w:rPr>
        <w:fldChar w:fldCharType="separate"/>
      </w:r>
      <w:r w:rsidRPr="00D702AA">
        <w:rPr>
          <w:rFonts w:ascii="Verdana" w:hAnsi="Verdana"/>
          <w:noProof/>
          <w:color w:val="auto"/>
          <w:sz w:val="22"/>
          <w:szCs w:val="22"/>
        </w:rPr>
        <w:t>7</w:t>
      </w:r>
      <w:r w:rsidRPr="00D702AA">
        <w:rPr>
          <w:rFonts w:ascii="Verdana" w:hAnsi="Verdana"/>
          <w:color w:val="auto"/>
          <w:sz w:val="22"/>
          <w:szCs w:val="22"/>
        </w:rPr>
        <w:fldChar w:fldCharType="end"/>
      </w:r>
      <w:r w:rsidRPr="00D702AA">
        <w:rPr>
          <w:rFonts w:ascii="Verdana" w:hAnsi="Verdana"/>
          <w:color w:val="auto"/>
          <w:sz w:val="22"/>
          <w:szCs w:val="22"/>
        </w:rPr>
        <w:t>. Polígonos que presentan disminución en su área</w:t>
      </w:r>
    </w:p>
    <w:tbl>
      <w:tblPr>
        <w:tblW w:w="920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4"/>
        <w:gridCol w:w="1282"/>
        <w:gridCol w:w="2197"/>
        <w:gridCol w:w="1457"/>
        <w:gridCol w:w="3274"/>
      </w:tblGrid>
      <w:tr w:rsidR="00D702AA" w:rsidRPr="002403E3" w14:paraId="782DAA72" w14:textId="77777777" w:rsidTr="00D702AA">
        <w:trPr>
          <w:trHeight w:val="953"/>
          <w:jc w:val="center"/>
        </w:trPr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524DCF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N°</w:t>
            </w:r>
            <w:proofErr w:type="spellEnd"/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Polígono</w:t>
            </w:r>
          </w:p>
        </w:tc>
        <w:tc>
          <w:tcPr>
            <w:tcW w:w="128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FF8A1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Corporación</w:t>
            </w:r>
          </w:p>
        </w:tc>
        <w:tc>
          <w:tcPr>
            <w:tcW w:w="219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672310C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Nombre del área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07D29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Área (ha)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E8BFF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15652">
              <w:rPr>
                <w:rFonts w:ascii="Arial Narrow" w:hAnsi="Arial Narrow"/>
                <w:b/>
                <w:bCs/>
                <w:sz w:val="20"/>
                <w:szCs w:val="20"/>
              </w:rPr>
              <w:t>Análisis Agencia Nacional de Minería</w:t>
            </w:r>
          </w:p>
        </w:tc>
      </w:tr>
      <w:tr w:rsidR="00D702AA" w:rsidRPr="002403E3" w14:paraId="446962C4" w14:textId="77777777" w:rsidTr="00D702AA">
        <w:trPr>
          <w:trHeight w:val="390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F0DE70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47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22E4D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CDMB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721FA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Cañón Rio Lebrija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0AF6424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1.8</w:t>
            </w:r>
            <w:r>
              <w:rPr>
                <w:rFonts w:ascii="Arial Narrow" w:hAnsi="Arial Narrow"/>
                <w:sz w:val="20"/>
                <w:szCs w:val="20"/>
              </w:rPr>
              <w:t>57,53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A17744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2FF1">
              <w:rPr>
                <w:rFonts w:ascii="Arial Narrow" w:eastAsia="Arial Narrow" w:hAnsi="Arial Narrow" w:cs="Arial Narrow"/>
                <w:sz w:val="18"/>
                <w:szCs w:val="18"/>
              </w:rPr>
              <w:t>No presenta superposición con títulos, solicitudes o áreas de reserva especial.</w:t>
            </w:r>
          </w:p>
        </w:tc>
      </w:tr>
      <w:tr w:rsidR="00D702AA" w:rsidRPr="002403E3" w14:paraId="0E8D7BBF" w14:textId="77777777" w:rsidTr="00D702AA">
        <w:trPr>
          <w:trHeight w:val="630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ED033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49a</w:t>
            </w:r>
          </w:p>
        </w:tc>
        <w:tc>
          <w:tcPr>
            <w:tcW w:w="1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5E395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CDMB</w:t>
            </w:r>
          </w:p>
        </w:tc>
        <w:tc>
          <w:tcPr>
            <w:tcW w:w="219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78A7AB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0" w:name="OLE_LINK1"/>
            <w:r>
              <w:rPr>
                <w:rFonts w:ascii="Arial Narrow" w:hAnsi="Arial Narrow"/>
                <w:sz w:val="20"/>
                <w:szCs w:val="20"/>
              </w:rPr>
              <w:t>Mi</w:t>
            </w:r>
            <w:r w:rsidRPr="00FD7DB2">
              <w:rPr>
                <w:rFonts w:ascii="Arial Narrow" w:hAnsi="Arial Narrow"/>
                <w:sz w:val="20"/>
                <w:szCs w:val="20"/>
              </w:rPr>
              <w:t>crocuenca Rio Tona</w:t>
            </w:r>
            <w:bookmarkEnd w:id="0"/>
          </w:p>
        </w:tc>
        <w:tc>
          <w:tcPr>
            <w:tcW w:w="1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5C50B1C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.966,63</w:t>
            </w:r>
          </w:p>
        </w:tc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80FA8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30F">
              <w:rPr>
                <w:rFonts w:ascii="Arial Narrow" w:eastAsia="Arial Narrow" w:hAnsi="Arial Narrow" w:cs="Arial Narrow"/>
                <w:sz w:val="18"/>
                <w:szCs w:val="18"/>
              </w:rPr>
              <w:t>No presenta superposición con títulos, solicitudes o áreas de reserva especial</w:t>
            </w:r>
          </w:p>
        </w:tc>
      </w:tr>
      <w:tr w:rsidR="00D702AA" w:rsidRPr="002403E3" w14:paraId="148AE2E3" w14:textId="77777777" w:rsidTr="00D702AA">
        <w:trPr>
          <w:trHeight w:val="589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10E73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49b</w:t>
            </w:r>
          </w:p>
        </w:tc>
        <w:tc>
          <w:tcPr>
            <w:tcW w:w="12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4373B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CDMB</w:t>
            </w:r>
          </w:p>
        </w:tc>
        <w:tc>
          <w:tcPr>
            <w:tcW w:w="219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7AA06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8EFC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3.</w:t>
            </w:r>
            <w:r>
              <w:rPr>
                <w:rFonts w:ascii="Arial Narrow" w:hAnsi="Arial Narrow"/>
                <w:sz w:val="20"/>
                <w:szCs w:val="20"/>
              </w:rPr>
              <w:t>687,04</w:t>
            </w:r>
          </w:p>
        </w:tc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151D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702AA" w:rsidRPr="002403E3" w14:paraId="4FC70C98" w14:textId="77777777" w:rsidTr="00D702AA">
        <w:trPr>
          <w:trHeight w:val="344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EE0C7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51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2029E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D7DB2">
              <w:rPr>
                <w:rFonts w:ascii="Arial Narrow" w:hAnsi="Arial Narrow"/>
                <w:sz w:val="20"/>
                <w:szCs w:val="20"/>
              </w:rPr>
              <w:t>Corponariño</w:t>
            </w:r>
            <w:proofErr w:type="spellEnd"/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4DB3673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Andino Pacífica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A575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11.</w:t>
            </w:r>
            <w:r>
              <w:rPr>
                <w:rFonts w:ascii="Arial Narrow" w:hAnsi="Arial Narrow"/>
                <w:sz w:val="20"/>
                <w:szCs w:val="20"/>
              </w:rPr>
              <w:t>750,48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E83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</w:t>
            </w:r>
            <w:r w:rsidRPr="0000530F">
              <w:rPr>
                <w:rFonts w:ascii="Arial Narrow" w:eastAsia="Arial Narrow" w:hAnsi="Arial Narrow" w:cs="Arial Narrow"/>
                <w:sz w:val="18"/>
                <w:szCs w:val="18"/>
              </w:rPr>
              <w:t>resenta superposición cinco (5) títulos mineros vigentes</w:t>
            </w:r>
          </w:p>
        </w:tc>
      </w:tr>
      <w:tr w:rsidR="00D702AA" w:rsidRPr="002403E3" w14:paraId="30A56301" w14:textId="77777777" w:rsidTr="00D702AA">
        <w:trPr>
          <w:trHeight w:val="344"/>
          <w:jc w:val="center"/>
        </w:trPr>
        <w:tc>
          <w:tcPr>
            <w:tcW w:w="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3AF75E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595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3083F3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595F">
              <w:rPr>
                <w:rFonts w:ascii="Arial Narrow" w:hAnsi="Arial Narrow"/>
                <w:sz w:val="20"/>
                <w:szCs w:val="20"/>
              </w:rPr>
              <w:t>Corantioquia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42E0F7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595F">
              <w:rPr>
                <w:rFonts w:ascii="Arial Narrow" w:hAnsi="Arial Narrow"/>
                <w:sz w:val="20"/>
                <w:szCs w:val="20"/>
              </w:rPr>
              <w:t>Bajo Cauca Nechí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157B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A595F">
              <w:rPr>
                <w:rFonts w:ascii="Arial Narrow" w:hAnsi="Arial Narrow"/>
                <w:sz w:val="20"/>
                <w:szCs w:val="20"/>
              </w:rPr>
              <w:t>75759,95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00E6" w14:textId="77777777" w:rsidR="00D702AA" w:rsidRPr="00152FF1" w:rsidRDefault="00D702AA" w:rsidP="00FC20E1">
            <w:pPr>
              <w:jc w:val="center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</w:t>
            </w:r>
            <w:r w:rsidRPr="0000530F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resenta superposición con 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quince (</w:t>
            </w:r>
            <w:r w:rsidRPr="0000530F">
              <w:rPr>
                <w:rFonts w:ascii="Arial Narrow" w:eastAsia="Arial Narrow" w:hAnsi="Arial Narrow" w:cs="Arial Narrow"/>
                <w:sz w:val="18"/>
                <w:szCs w:val="18"/>
              </w:rPr>
              <w:t>15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)</w:t>
            </w:r>
            <w:r w:rsidRPr="0000530F"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títulos mineros vigentes</w:t>
            </w:r>
          </w:p>
        </w:tc>
      </w:tr>
      <w:tr w:rsidR="00D702AA" w:rsidRPr="002403E3" w14:paraId="47D118DF" w14:textId="77777777" w:rsidTr="00D702AA">
        <w:trPr>
          <w:trHeight w:val="344"/>
          <w:jc w:val="center"/>
        </w:trPr>
        <w:tc>
          <w:tcPr>
            <w:tcW w:w="447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D3E2F9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B73A7C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95.021,63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</w:tcPr>
          <w:p w14:paraId="4A4B5A39" w14:textId="77777777" w:rsidR="00D702AA" w:rsidRPr="00FE67FC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7B1DDC47" w14:textId="77777777" w:rsidR="00D702AA" w:rsidRPr="00D702AA" w:rsidRDefault="00D702AA" w:rsidP="00D702AA">
      <w:pPr>
        <w:rPr>
          <w:lang w:eastAsia="es-ES"/>
        </w:rPr>
      </w:pPr>
    </w:p>
    <w:p w14:paraId="75C3AB7F" w14:textId="77777777" w:rsidR="00D702AA" w:rsidRPr="00D702AA" w:rsidRDefault="00D702AA" w:rsidP="00D702AA">
      <w:pPr>
        <w:spacing w:before="240" w:after="240"/>
        <w:jc w:val="both"/>
        <w:rPr>
          <w:rFonts w:ascii="Verdana" w:hAnsi="Verdana"/>
          <w:sz w:val="22"/>
          <w:szCs w:val="22"/>
          <w:lang w:val="es-ES"/>
        </w:rPr>
      </w:pPr>
      <w:r w:rsidRPr="00D702AA">
        <w:rPr>
          <w:rFonts w:ascii="Verdana" w:hAnsi="Verdana"/>
          <w:b/>
          <w:bCs/>
          <w:sz w:val="22"/>
          <w:szCs w:val="22"/>
          <w:lang w:val="es-ES"/>
        </w:rPr>
        <w:t>Parágrafo 1:</w:t>
      </w:r>
      <w:r w:rsidRPr="00D702AA">
        <w:rPr>
          <w:rFonts w:ascii="Verdana" w:hAnsi="Verdana"/>
          <w:sz w:val="22"/>
          <w:szCs w:val="22"/>
          <w:lang w:val="es-ES"/>
        </w:rPr>
        <w:t xml:space="preserve"> </w:t>
      </w:r>
      <w:r w:rsidRPr="00D702AA">
        <w:rPr>
          <w:rFonts w:ascii="Verdana" w:hAnsi="Verdana"/>
          <w:sz w:val="22"/>
          <w:szCs w:val="22"/>
        </w:rPr>
        <w:t xml:space="preserve">Los datos anteriormente relacionados fueron calculados con base en el último valor reportado en el </w:t>
      </w:r>
      <w:proofErr w:type="spellStart"/>
      <w:r w:rsidRPr="00D702AA">
        <w:rPr>
          <w:rFonts w:ascii="Verdana" w:hAnsi="Verdana"/>
          <w:i/>
          <w:iCs/>
          <w:sz w:val="22"/>
          <w:szCs w:val="22"/>
        </w:rPr>
        <w:t>shapefile</w:t>
      </w:r>
      <w:proofErr w:type="spellEnd"/>
      <w:r w:rsidRPr="00D702AA">
        <w:rPr>
          <w:rFonts w:ascii="Verdana" w:hAnsi="Verdana"/>
          <w:sz w:val="22"/>
          <w:szCs w:val="22"/>
        </w:rPr>
        <w:t xml:space="preserve"> correspondiente a los polígonos que presentaron modificaciones, conforme al cálculo realizado en el sistema de referencia horizontal MAGNA-SIRGAS Origen Nacional por la respectiva Corporación, atendiendo a los avances registrados en el marco de la Ruta para la Declaratoria de Áreas Protegidas.</w:t>
      </w:r>
    </w:p>
    <w:p w14:paraId="6E970B03" w14:textId="77777777" w:rsidR="00D702AA" w:rsidRPr="00D702AA" w:rsidRDefault="00D702AA" w:rsidP="00D702AA">
      <w:pPr>
        <w:spacing w:before="240" w:after="240"/>
        <w:jc w:val="both"/>
        <w:rPr>
          <w:rFonts w:ascii="Verdana" w:hAnsi="Verdana"/>
          <w:sz w:val="22"/>
          <w:szCs w:val="22"/>
          <w:lang w:val="es-ES"/>
        </w:rPr>
      </w:pPr>
      <w:r w:rsidRPr="00D702AA">
        <w:rPr>
          <w:rFonts w:ascii="Verdana" w:hAnsi="Verdana"/>
          <w:b/>
          <w:bCs/>
          <w:sz w:val="22"/>
          <w:szCs w:val="22"/>
          <w:lang w:val="es-ES"/>
        </w:rPr>
        <w:t>Parágrafo 2.</w:t>
      </w:r>
      <w:r w:rsidRPr="00D702AA">
        <w:rPr>
          <w:rFonts w:ascii="Verdana" w:hAnsi="Verdana"/>
          <w:sz w:val="22"/>
          <w:szCs w:val="22"/>
          <w:lang w:val="es-ES"/>
        </w:rPr>
        <w:t xml:space="preserve"> El ajuste de que trata el presente artículo se realiza con fundamento en el informe consolidado que realiza la Dirección de Bosques, Biodiversidad y Servicios Ecosistémicos del Ministerio de Ambiente y Desarrollo Sostenible, a partir de la información técnica aportada por las Corporaciones Autónomas Regionales.</w:t>
      </w:r>
    </w:p>
    <w:p w14:paraId="7B813074" w14:textId="4361DB0E" w:rsidR="00D702AA" w:rsidRPr="00D702AA" w:rsidRDefault="00D702AA" w:rsidP="00D702AA">
      <w:pPr>
        <w:jc w:val="both"/>
        <w:rPr>
          <w:rFonts w:ascii="Verdana" w:hAnsi="Verdana"/>
          <w:b/>
          <w:bCs/>
          <w:sz w:val="22"/>
          <w:szCs w:val="22"/>
          <w:lang w:val="es-ES"/>
        </w:rPr>
      </w:pPr>
      <w:r w:rsidRPr="00D702AA">
        <w:rPr>
          <w:rFonts w:ascii="Verdana" w:hAnsi="Verdana"/>
          <w:b/>
          <w:bCs/>
          <w:sz w:val="22"/>
          <w:szCs w:val="22"/>
          <w:lang w:val="es-ES"/>
        </w:rPr>
        <w:t>Parágrafo 3.</w:t>
      </w:r>
      <w:r w:rsidRPr="00D702AA">
        <w:rPr>
          <w:rFonts w:ascii="Verdana" w:hAnsi="Verdana"/>
          <w:sz w:val="22"/>
          <w:szCs w:val="22"/>
        </w:rPr>
        <w:t xml:space="preserve"> </w:t>
      </w:r>
      <w:r w:rsidRPr="00D702AA">
        <w:rPr>
          <w:rFonts w:ascii="Verdana" w:hAnsi="Verdana"/>
          <w:sz w:val="22"/>
          <w:szCs w:val="22"/>
          <w:lang w:val="es-ES"/>
        </w:rPr>
        <w:t>Se aclara que el polígono identificado originalmente como 49a – Microcuenca Río Tona, en jurisdicción de la Corporación Autónoma Regional para la Defensa de la Meseta de Bucaramanga – CDMB, fue dividido en dos áreas diferenciadas, identificadas como polígonos 49a y 49b, como resultado de la justificación técnica presentada por dicha Corporación, la cual fue evaluada y acogida por este Ministerio en el marco de los avances de la ruta de declaratoria. Esta división obedece a criterios ecológicos, prediales y de gobernanza territorial, y fue incorporada en los considerandos del presente acto administrativo.</w:t>
      </w:r>
    </w:p>
    <w:p w14:paraId="262CD56B" w14:textId="77777777" w:rsidR="00D702AA" w:rsidRPr="00D702AA" w:rsidRDefault="00D702AA" w:rsidP="00D702AA">
      <w:pPr>
        <w:jc w:val="both"/>
        <w:rPr>
          <w:rFonts w:ascii="Verdana" w:hAnsi="Verdana"/>
          <w:sz w:val="22"/>
          <w:szCs w:val="22"/>
        </w:rPr>
      </w:pPr>
      <w:r w:rsidRPr="00D702AA">
        <w:rPr>
          <w:rFonts w:ascii="Verdana" w:hAnsi="Verdana"/>
          <w:b/>
          <w:sz w:val="22"/>
          <w:szCs w:val="22"/>
        </w:rPr>
        <w:t>Artículo</w:t>
      </w:r>
      <w:r w:rsidRPr="00D702AA">
        <w:rPr>
          <w:rFonts w:ascii="Verdana" w:hAnsi="Verdana"/>
          <w:b/>
          <w:bCs/>
          <w:sz w:val="22"/>
          <w:szCs w:val="22"/>
        </w:rPr>
        <w:t xml:space="preserve"> 3. AUMENTO DE ÁREA: </w:t>
      </w:r>
      <w:r w:rsidRPr="00D702AA">
        <w:rPr>
          <w:rFonts w:ascii="Verdana" w:hAnsi="Verdana"/>
          <w:sz w:val="22"/>
          <w:szCs w:val="22"/>
          <w:lang w:val="es-ES"/>
        </w:rPr>
        <w:t xml:space="preserve">Modificar en el sentido de aumentar el área de dos (2) polígonos, </w:t>
      </w:r>
      <w:r w:rsidRPr="00D702AA">
        <w:rPr>
          <w:rFonts w:ascii="Verdana" w:hAnsi="Verdana"/>
          <w:sz w:val="22"/>
          <w:szCs w:val="22"/>
        </w:rPr>
        <w:t>que en conjunto suman 140.442,32 hectáreas. En consecuencia, se prorrogan por el término de dos (2) años, contados a partir de la expedición del presente acto administrativo, los efectos jurídicos de las siguientes zonas de protección y desarrollo de los recursos naturales renovables y del medio ambiente, establecidas mediante la Resolución 1814 de 2015 del Ministerio de Ambiente y Desarrollo Sostenible y prorrogadas por las Resoluciones 2157 de 2017, 1987 de 2018, 1675 de 2019, 1125 de 2021 y 1109 de 2023, para los polígonos identificados así:</w:t>
      </w:r>
    </w:p>
    <w:p w14:paraId="21042657" w14:textId="77777777" w:rsidR="00D702AA" w:rsidRDefault="00D702AA" w:rsidP="00D702AA">
      <w:pPr>
        <w:pStyle w:val="Descripcin"/>
        <w:keepNext/>
        <w:spacing w:before="240" w:after="240"/>
        <w:jc w:val="center"/>
        <w:rPr>
          <w:rFonts w:ascii="Verdana" w:hAnsi="Verdana"/>
          <w:color w:val="auto"/>
          <w:sz w:val="22"/>
          <w:szCs w:val="22"/>
        </w:rPr>
      </w:pPr>
      <w:r w:rsidRPr="00D702AA">
        <w:rPr>
          <w:rFonts w:ascii="Verdana" w:hAnsi="Verdana"/>
          <w:color w:val="auto"/>
          <w:sz w:val="22"/>
          <w:szCs w:val="22"/>
        </w:rPr>
        <w:t xml:space="preserve">Tabla </w:t>
      </w:r>
      <w:r w:rsidRPr="00D702AA">
        <w:rPr>
          <w:rFonts w:ascii="Verdana" w:hAnsi="Verdana"/>
          <w:color w:val="auto"/>
          <w:sz w:val="22"/>
          <w:szCs w:val="22"/>
        </w:rPr>
        <w:fldChar w:fldCharType="begin"/>
      </w:r>
      <w:r w:rsidRPr="00D702AA">
        <w:rPr>
          <w:rFonts w:ascii="Verdana" w:hAnsi="Verdana"/>
          <w:color w:val="auto"/>
          <w:sz w:val="22"/>
          <w:szCs w:val="22"/>
        </w:rPr>
        <w:instrText xml:space="preserve"> SEQ Tabla \* ARABIC </w:instrText>
      </w:r>
      <w:r w:rsidRPr="00D702AA">
        <w:rPr>
          <w:rFonts w:ascii="Verdana" w:hAnsi="Verdana"/>
          <w:color w:val="auto"/>
          <w:sz w:val="22"/>
          <w:szCs w:val="22"/>
        </w:rPr>
        <w:fldChar w:fldCharType="separate"/>
      </w:r>
      <w:r w:rsidRPr="00D702AA">
        <w:rPr>
          <w:rFonts w:ascii="Verdana" w:hAnsi="Verdana"/>
          <w:color w:val="auto"/>
          <w:sz w:val="22"/>
          <w:szCs w:val="22"/>
        </w:rPr>
        <w:t>8</w:t>
      </w:r>
      <w:r w:rsidRPr="00D702AA">
        <w:rPr>
          <w:rFonts w:ascii="Verdana" w:hAnsi="Verdana"/>
          <w:color w:val="auto"/>
          <w:sz w:val="22"/>
          <w:szCs w:val="22"/>
        </w:rPr>
        <w:fldChar w:fldCharType="end"/>
      </w:r>
      <w:r w:rsidRPr="00D702AA">
        <w:rPr>
          <w:rFonts w:ascii="Verdana" w:hAnsi="Verdana"/>
          <w:color w:val="auto"/>
          <w:sz w:val="22"/>
          <w:szCs w:val="22"/>
        </w:rPr>
        <w:t>. Polígono que presenta aumento en su área.</w:t>
      </w: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8"/>
        <w:gridCol w:w="1171"/>
        <w:gridCol w:w="2216"/>
        <w:gridCol w:w="1054"/>
        <w:gridCol w:w="3402"/>
      </w:tblGrid>
      <w:tr w:rsidR="00D702AA" w:rsidRPr="00FD7DB2" w14:paraId="768E4741" w14:textId="77777777" w:rsidTr="00D702AA">
        <w:trPr>
          <w:trHeight w:val="70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25F1C398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N°</w:t>
            </w:r>
            <w:proofErr w:type="spellEnd"/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Polígono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8E8E8"/>
            <w:vAlign w:val="center"/>
            <w:hideMark/>
          </w:tcPr>
          <w:p w14:paraId="46E97104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Corporación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8E8E8"/>
            <w:vAlign w:val="center"/>
            <w:hideMark/>
          </w:tcPr>
          <w:p w14:paraId="04A17548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Nombre del área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</w:tcPr>
          <w:p w14:paraId="411D01EE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Área (ha)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8E8E8"/>
            <w:vAlign w:val="center"/>
          </w:tcPr>
          <w:p w14:paraId="10DFD8D6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52FF1">
              <w:rPr>
                <w:rFonts w:ascii="Arial Narrow" w:eastAsia="Arial Narrow" w:hAnsi="Arial Narrow" w:cs="Arial Narrow"/>
                <w:b/>
                <w:bCs/>
                <w:sz w:val="18"/>
                <w:szCs w:val="18"/>
              </w:rPr>
              <w:t>Análisis Agencia Nacional de Minería</w:t>
            </w:r>
          </w:p>
        </w:tc>
      </w:tr>
      <w:tr w:rsidR="00D702AA" w:rsidRPr="00FD7DB2" w14:paraId="2C69176A" w14:textId="77777777" w:rsidTr="00D702AA">
        <w:trPr>
          <w:trHeight w:val="27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08DB0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586330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D7DB2">
              <w:rPr>
                <w:rFonts w:ascii="Arial Narrow" w:hAnsi="Arial Narrow"/>
                <w:sz w:val="20"/>
                <w:szCs w:val="20"/>
              </w:rPr>
              <w:t>Codechocó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E228DE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Relictos de Caoba de Jurado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468CDD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124.751,71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96C750" w14:textId="77777777" w:rsidR="00D702AA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P</w:t>
            </w:r>
            <w:r w:rsidRPr="00130A1C">
              <w:rPr>
                <w:rFonts w:ascii="Arial Narrow" w:eastAsia="Arial Narrow" w:hAnsi="Arial Narrow" w:cs="Arial Narrow"/>
                <w:sz w:val="18"/>
                <w:szCs w:val="18"/>
              </w:rPr>
              <w:t>resenta superposición con dos (2) Áreas Estratégicas Mineras vigentes</w:t>
            </w:r>
          </w:p>
        </w:tc>
      </w:tr>
      <w:tr w:rsidR="00D702AA" w:rsidRPr="00FD7DB2" w14:paraId="4F4CF22E" w14:textId="77777777" w:rsidTr="00D702AA">
        <w:trPr>
          <w:trHeight w:val="274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3FEB2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lastRenderedPageBreak/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ECD8D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>Corporinoquia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6080B9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7DB2">
              <w:rPr>
                <w:rFonts w:ascii="Arial Narrow" w:hAnsi="Arial Narrow"/>
                <w:sz w:val="20"/>
                <w:szCs w:val="20"/>
              </w:rPr>
              <w:t xml:space="preserve">Cerro </w:t>
            </w:r>
            <w:proofErr w:type="spellStart"/>
            <w:r w:rsidRPr="00FD7DB2">
              <w:rPr>
                <w:rFonts w:ascii="Arial Narrow" w:hAnsi="Arial Narrow"/>
                <w:sz w:val="20"/>
                <w:szCs w:val="20"/>
              </w:rPr>
              <w:t>Zamaricote</w:t>
            </w:r>
            <w:proofErr w:type="spellEnd"/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25A0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15.690,61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64F5" w14:textId="77777777" w:rsidR="00D702AA" w:rsidRDefault="00D702AA" w:rsidP="00FC20E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52FF1">
              <w:rPr>
                <w:rFonts w:ascii="Arial Narrow" w:eastAsia="Arial Narrow" w:hAnsi="Arial Narrow" w:cs="Arial Narrow"/>
                <w:sz w:val="18"/>
                <w:szCs w:val="18"/>
              </w:rPr>
              <w:t>No presenta superposición con títulos, solicitudes o áreas de reserva especial.</w:t>
            </w:r>
          </w:p>
        </w:tc>
      </w:tr>
      <w:tr w:rsidR="00D702AA" w:rsidRPr="00FD7DB2" w14:paraId="3103CABA" w14:textId="77777777" w:rsidTr="00D702AA">
        <w:trPr>
          <w:trHeight w:val="136"/>
          <w:jc w:val="center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5F3AD1F" w14:textId="77777777" w:rsidR="00D702AA" w:rsidRPr="00FD7DB2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D7DB2">
              <w:rPr>
                <w:rFonts w:ascii="Arial Narrow" w:hAnsi="Arial Narrow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455303" w14:textId="77777777" w:rsidR="00D702AA" w:rsidRPr="00FD7DB2" w:rsidRDefault="00D702AA" w:rsidP="00FC20E1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140.442,32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14:paraId="7E8E37E8" w14:textId="77777777" w:rsidR="00D702AA" w:rsidRDefault="00D702AA" w:rsidP="00FC20E1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</w:tr>
    </w:tbl>
    <w:p w14:paraId="064BD19A" w14:textId="77777777" w:rsidR="00D702AA" w:rsidRPr="00D702AA" w:rsidRDefault="00D702AA" w:rsidP="00D702AA">
      <w:pPr>
        <w:spacing w:before="240" w:after="240"/>
        <w:jc w:val="both"/>
        <w:rPr>
          <w:rFonts w:ascii="Verdana" w:hAnsi="Verdana"/>
          <w:sz w:val="22"/>
          <w:szCs w:val="22"/>
        </w:rPr>
      </w:pPr>
      <w:r w:rsidRPr="00D702AA">
        <w:rPr>
          <w:rFonts w:ascii="Verdana" w:hAnsi="Verdana"/>
          <w:b/>
          <w:bCs/>
          <w:sz w:val="22"/>
          <w:szCs w:val="22"/>
          <w:lang w:val="es-ES"/>
        </w:rPr>
        <w:t>Parágrafo 1:</w:t>
      </w:r>
      <w:r w:rsidRPr="00D702AA">
        <w:rPr>
          <w:rFonts w:ascii="Verdana" w:hAnsi="Verdana"/>
          <w:sz w:val="22"/>
          <w:szCs w:val="22"/>
          <w:lang w:val="es-ES"/>
        </w:rPr>
        <w:t xml:space="preserve"> </w:t>
      </w:r>
      <w:r w:rsidRPr="00D702AA">
        <w:rPr>
          <w:rFonts w:ascii="Verdana" w:hAnsi="Verdana"/>
          <w:sz w:val="22"/>
          <w:szCs w:val="22"/>
        </w:rPr>
        <w:t xml:space="preserve">Los datos anteriormente relacionados fueron calculados con base en el último valor reportado en el </w:t>
      </w:r>
      <w:proofErr w:type="spellStart"/>
      <w:r w:rsidRPr="00D702AA">
        <w:rPr>
          <w:rFonts w:ascii="Verdana" w:hAnsi="Verdana"/>
          <w:i/>
          <w:iCs/>
          <w:sz w:val="22"/>
          <w:szCs w:val="22"/>
        </w:rPr>
        <w:t>shapefile</w:t>
      </w:r>
      <w:proofErr w:type="spellEnd"/>
      <w:r w:rsidRPr="00D702AA">
        <w:rPr>
          <w:rFonts w:ascii="Verdana" w:hAnsi="Verdana"/>
          <w:sz w:val="22"/>
          <w:szCs w:val="22"/>
        </w:rPr>
        <w:t xml:space="preserve"> correspondiente a los polígonos que presentaron modificaciones, conforme al cálculo realizado en el sistema de referencia horizontal MAGNA-SIRGAS Origen Nacional por la respectiva Corporación, atendiendo a los avances registrados en el marco de la Ruta para la Declaratoria de Áreas Protegidas.</w:t>
      </w:r>
    </w:p>
    <w:p w14:paraId="25B4B7CB" w14:textId="77777777" w:rsidR="00D702AA" w:rsidRPr="00D702AA" w:rsidRDefault="00D702AA" w:rsidP="00D702AA">
      <w:pPr>
        <w:spacing w:before="240" w:after="240"/>
        <w:jc w:val="both"/>
        <w:rPr>
          <w:rFonts w:ascii="Verdana" w:hAnsi="Verdana"/>
          <w:sz w:val="22"/>
          <w:szCs w:val="22"/>
        </w:rPr>
      </w:pPr>
      <w:r w:rsidRPr="00D702AA">
        <w:rPr>
          <w:rFonts w:ascii="Verdana" w:hAnsi="Verdana"/>
          <w:b/>
          <w:sz w:val="22"/>
          <w:szCs w:val="22"/>
        </w:rPr>
        <w:t>Parágrafo 2.</w:t>
      </w:r>
      <w:r w:rsidRPr="00D702AA">
        <w:rPr>
          <w:rFonts w:ascii="Verdana" w:hAnsi="Verdana"/>
          <w:bCs/>
          <w:sz w:val="22"/>
          <w:szCs w:val="22"/>
        </w:rPr>
        <w:t xml:space="preserve"> </w:t>
      </w:r>
      <w:r w:rsidRPr="00D702AA">
        <w:rPr>
          <w:rFonts w:ascii="Verdana" w:hAnsi="Verdana"/>
          <w:sz w:val="22"/>
          <w:szCs w:val="22"/>
          <w:lang w:val="es-ES"/>
        </w:rPr>
        <w:t>El ajuste de que trata el presente artículo se realiza con fundamento en el informe consolidado que realiza la Dirección de Bosques, Biodiversidad y Servicios Ecosistémicos del Ministerio de Ambiente y Desarrollo Sostenible, a partir de la información técnica aportada por las Corporaciones Autónomas Regionales.</w:t>
      </w:r>
    </w:p>
    <w:p w14:paraId="28FAAA53" w14:textId="77777777" w:rsidR="009051FE" w:rsidRPr="00D702AA" w:rsidRDefault="009051FE">
      <w:pPr>
        <w:rPr>
          <w:rFonts w:ascii="Verdana" w:hAnsi="Verdana" w:cs="Arial"/>
          <w:sz w:val="22"/>
          <w:szCs w:val="22"/>
        </w:rPr>
      </w:pPr>
    </w:p>
    <w:sectPr w:rsidR="009051FE" w:rsidRPr="00D702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F46940"/>
    <w:multiLevelType w:val="multilevel"/>
    <w:tmpl w:val="2C786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ttulo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F37323F"/>
    <w:multiLevelType w:val="multilevel"/>
    <w:tmpl w:val="E93663BA"/>
    <w:lvl w:ilvl="0">
      <w:start w:val="1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6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3240"/>
      </w:pPr>
      <w:rPr>
        <w:rFonts w:hint="default"/>
      </w:rPr>
    </w:lvl>
  </w:abstractNum>
  <w:num w:numId="1" w16cid:durableId="872696273">
    <w:abstractNumId w:val="1"/>
  </w:num>
  <w:num w:numId="2" w16cid:durableId="49769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FE"/>
    <w:rsid w:val="00065251"/>
    <w:rsid w:val="0016387A"/>
    <w:rsid w:val="00301014"/>
    <w:rsid w:val="005811E8"/>
    <w:rsid w:val="005B7A43"/>
    <w:rsid w:val="00726744"/>
    <w:rsid w:val="0080156B"/>
    <w:rsid w:val="0087471A"/>
    <w:rsid w:val="008C7BAE"/>
    <w:rsid w:val="009051FE"/>
    <w:rsid w:val="00A45CF6"/>
    <w:rsid w:val="00AF71B0"/>
    <w:rsid w:val="00B32E31"/>
    <w:rsid w:val="00D566B0"/>
    <w:rsid w:val="00D702AA"/>
    <w:rsid w:val="00D80998"/>
    <w:rsid w:val="00DB4066"/>
    <w:rsid w:val="00DC5767"/>
    <w:rsid w:val="00EA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FEE269"/>
  <w15:chartTrackingRefBased/>
  <w15:docId w15:val="{130CAF1F-8ED5-7345-AA6E-7CD3FADB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aliases w:val="Título SST"/>
    <w:basedOn w:val="Ttulo2"/>
    <w:next w:val="Normal"/>
    <w:link w:val="Ttulo1Car"/>
    <w:autoRedefine/>
    <w:uiPriority w:val="9"/>
    <w:qFormat/>
    <w:rsid w:val="00AF71B0"/>
    <w:pPr>
      <w:spacing w:before="360" w:line="360" w:lineRule="auto"/>
      <w:jc w:val="center"/>
      <w:outlineLvl w:val="0"/>
    </w:pPr>
    <w:rPr>
      <w:rFonts w:ascii="Verdana" w:hAnsi="Verdana"/>
      <w:b/>
      <w:color w:val="000000" w:themeColor="text1"/>
      <w:sz w:val="24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F71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F71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051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051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051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051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051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051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aliases w:val="CAPITULO"/>
    <w:basedOn w:val="Normal"/>
    <w:next w:val="Normal"/>
    <w:link w:val="TtuloCar"/>
    <w:uiPriority w:val="10"/>
    <w:qFormat/>
    <w:rsid w:val="00301014"/>
    <w:pPr>
      <w:spacing w:before="120" w:after="120" w:line="240" w:lineRule="auto"/>
      <w:contextualSpacing/>
      <w:jc w:val="center"/>
    </w:pPr>
    <w:rPr>
      <w:rFonts w:ascii="Verdana" w:eastAsiaTheme="majorEastAsia" w:hAnsi="Verdana" w:cstheme="majorBidi"/>
      <w:b/>
      <w:spacing w:val="-10"/>
      <w:kern w:val="28"/>
      <w:szCs w:val="56"/>
    </w:rPr>
  </w:style>
  <w:style w:type="character" w:customStyle="1" w:styleId="TtuloCar">
    <w:name w:val="Título Car"/>
    <w:aliases w:val="CAPITULO Car"/>
    <w:basedOn w:val="Fuentedeprrafopredeter"/>
    <w:link w:val="Ttulo"/>
    <w:uiPriority w:val="10"/>
    <w:rsid w:val="00301014"/>
    <w:rPr>
      <w:rFonts w:ascii="Verdana" w:eastAsiaTheme="majorEastAsia" w:hAnsi="Verdana" w:cstheme="majorBidi"/>
      <w:b/>
      <w:spacing w:val="-10"/>
      <w:kern w:val="28"/>
      <w:szCs w:val="56"/>
    </w:rPr>
  </w:style>
  <w:style w:type="character" w:customStyle="1" w:styleId="Ttulo1Car">
    <w:name w:val="Título 1 Car"/>
    <w:aliases w:val="Título SST Car"/>
    <w:basedOn w:val="Fuentedeprrafopredeter"/>
    <w:link w:val="Ttulo1"/>
    <w:uiPriority w:val="9"/>
    <w:rsid w:val="00AF71B0"/>
    <w:rPr>
      <w:rFonts w:ascii="Verdana" w:eastAsiaTheme="majorEastAsia" w:hAnsi="Verdana" w:cstheme="majorBidi"/>
      <w:b/>
      <w:color w:val="000000" w:themeColor="text1"/>
      <w:szCs w:val="40"/>
    </w:rPr>
  </w:style>
  <w:style w:type="paragraph" w:styleId="Subttulo">
    <w:name w:val="Subtitle"/>
    <w:aliases w:val="Subtítulo SST"/>
    <w:basedOn w:val="Ttulo3"/>
    <w:next w:val="Normal"/>
    <w:link w:val="SubttuloCar"/>
    <w:autoRedefine/>
    <w:uiPriority w:val="11"/>
    <w:qFormat/>
    <w:rsid w:val="00AF71B0"/>
    <w:pPr>
      <w:numPr>
        <w:ilvl w:val="1"/>
        <w:numId w:val="2"/>
      </w:numPr>
      <w:spacing w:line="240" w:lineRule="auto"/>
      <w:ind w:left="1428"/>
    </w:pPr>
    <w:rPr>
      <w:rFonts w:ascii="Verdana" w:hAnsi="Verdana"/>
      <w:b/>
      <w:color w:val="000000" w:themeColor="text1"/>
      <w:spacing w:val="15"/>
      <w:sz w:val="24"/>
      <w:lang w:val="es-ES"/>
    </w:rPr>
  </w:style>
  <w:style w:type="character" w:customStyle="1" w:styleId="SubttuloCar">
    <w:name w:val="Subtítulo Car"/>
    <w:aliases w:val="Subtítulo SST Car"/>
    <w:basedOn w:val="Fuentedeprrafopredeter"/>
    <w:link w:val="Subttulo"/>
    <w:uiPriority w:val="11"/>
    <w:rsid w:val="00AF71B0"/>
    <w:rPr>
      <w:rFonts w:ascii="Verdana" w:eastAsiaTheme="majorEastAsia" w:hAnsi="Verdana" w:cstheme="majorBidi"/>
      <w:b/>
      <w:color w:val="000000" w:themeColor="text1"/>
      <w:spacing w:val="15"/>
      <w:szCs w:val="28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F71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F71B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fasissutil">
    <w:name w:val="Subtle Emphasis"/>
    <w:aliases w:val="SUBIT"/>
    <w:basedOn w:val="Fuentedeprrafopredeter"/>
    <w:uiPriority w:val="19"/>
    <w:qFormat/>
    <w:rsid w:val="00AF71B0"/>
    <w:rPr>
      <w:rFonts w:ascii="Verdana" w:eastAsiaTheme="majorEastAsia" w:hAnsi="Verdana" w:cstheme="majorBidi"/>
      <w:b/>
      <w:i w:val="0"/>
      <w:iCs w:val="0"/>
      <w:color w:val="000000" w:themeColor="text1"/>
      <w:sz w:val="24"/>
    </w:rPr>
  </w:style>
  <w:style w:type="table" w:styleId="Tablaconcuadrcula1clara-nfasis6">
    <w:name w:val="Grid Table 1 Light Accent 6"/>
    <w:basedOn w:val="Tablanormal"/>
    <w:uiPriority w:val="46"/>
    <w:rsid w:val="005B7A43"/>
    <w:pPr>
      <w:spacing w:after="0" w:line="240" w:lineRule="auto"/>
    </w:pPr>
    <w:rPr>
      <w:rFonts w:eastAsiaTheme="minorEastAsia"/>
      <w:kern w:val="0"/>
      <w:sz w:val="21"/>
      <w:szCs w:val="21"/>
      <w:lang w:eastAsia="es-CO"/>
      <w14:ligatures w14:val="none"/>
    </w:r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bCs/>
      </w:rPr>
      <w:tblPr/>
      <w:tcPr>
        <w:tcBorders>
          <w:bottom w:val="single" w:sz="12" w:space="0" w:color="8DD87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DD87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tulo4Car">
    <w:name w:val="Título 4 Car"/>
    <w:basedOn w:val="Fuentedeprrafopredeter"/>
    <w:link w:val="Ttulo4"/>
    <w:uiPriority w:val="9"/>
    <w:semiHidden/>
    <w:rsid w:val="009051FE"/>
    <w:rPr>
      <w:rFonts w:eastAsiaTheme="majorEastAsia" w:cstheme="majorBidi"/>
      <w:i/>
      <w:iCs/>
      <w:color w:val="0F4761" w:themeColor="accent1" w:themeShade="BF"/>
      <w:lang w:val="es-ES_tradnl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051FE"/>
    <w:rPr>
      <w:rFonts w:eastAsiaTheme="majorEastAsia" w:cstheme="majorBidi"/>
      <w:color w:val="0F4761" w:themeColor="accent1" w:themeShade="BF"/>
      <w:lang w:val="es-ES_tradnl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051FE"/>
    <w:rPr>
      <w:rFonts w:eastAsiaTheme="majorEastAsia" w:cstheme="majorBidi"/>
      <w:i/>
      <w:iCs/>
      <w:color w:val="595959" w:themeColor="text1" w:themeTint="A6"/>
      <w:lang w:val="es-ES_tradnl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051FE"/>
    <w:rPr>
      <w:rFonts w:eastAsiaTheme="majorEastAsia" w:cstheme="majorBidi"/>
      <w:color w:val="595959" w:themeColor="text1" w:themeTint="A6"/>
      <w:lang w:val="es-ES_tradnl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051FE"/>
    <w:rPr>
      <w:rFonts w:eastAsiaTheme="majorEastAsia" w:cstheme="majorBidi"/>
      <w:i/>
      <w:iCs/>
      <w:color w:val="272727" w:themeColor="text1" w:themeTint="D8"/>
      <w:lang w:val="es-ES_tradnl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051FE"/>
    <w:rPr>
      <w:rFonts w:eastAsiaTheme="majorEastAsia" w:cstheme="majorBidi"/>
      <w:color w:val="272727" w:themeColor="text1" w:themeTint="D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/>
    <w:rsid w:val="009051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051FE"/>
    <w:rPr>
      <w:i/>
      <w:iCs/>
      <w:color w:val="404040" w:themeColor="text1" w:themeTint="BF"/>
      <w:lang w:val="es-ES_tradnl"/>
    </w:rPr>
  </w:style>
  <w:style w:type="paragraph" w:styleId="Prrafodelista">
    <w:name w:val="List Paragraph"/>
    <w:basedOn w:val="Normal"/>
    <w:uiPriority w:val="34"/>
    <w:qFormat/>
    <w:rsid w:val="009051F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051F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051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051FE"/>
    <w:rPr>
      <w:i/>
      <w:iCs/>
      <w:color w:val="0F4761" w:themeColor="accent1" w:themeShade="BF"/>
      <w:lang w:val="es-ES_tradnl"/>
    </w:rPr>
  </w:style>
  <w:style w:type="character" w:styleId="Referenciaintensa">
    <w:name w:val="Intense Reference"/>
    <w:basedOn w:val="Fuentedeprrafopredeter"/>
    <w:uiPriority w:val="32"/>
    <w:qFormat/>
    <w:rsid w:val="009051FE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semiHidden/>
    <w:unhideWhenUsed/>
    <w:rsid w:val="00A45CF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702AA"/>
    <w:rPr>
      <w:color w:val="96607D" w:themeColor="followed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D702AA"/>
    <w:pPr>
      <w:spacing w:after="200" w:line="240" w:lineRule="auto"/>
    </w:pPr>
    <w:rPr>
      <w:rFonts w:ascii="Times New Roman" w:eastAsiaTheme="minorEastAsia" w:hAnsi="Times New Roman" w:cs="Times New Roman"/>
      <w:i/>
      <w:iCs/>
      <w:color w:val="0E2841" w:themeColor="text2"/>
      <w:kern w:val="0"/>
      <w:sz w:val="18"/>
      <w:szCs w:val="18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8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inambiente.gov.co/normativa/resolucion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Ramirez Sanchez</dc:creator>
  <cp:keywords/>
  <dc:description/>
  <cp:lastModifiedBy>Paola Ramirez Sanchez</cp:lastModifiedBy>
  <cp:revision>2</cp:revision>
  <dcterms:created xsi:type="dcterms:W3CDTF">2025-10-20T22:57:00Z</dcterms:created>
  <dcterms:modified xsi:type="dcterms:W3CDTF">2025-10-20T22:57:00Z</dcterms:modified>
</cp:coreProperties>
</file>